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hd w:val="clear" w:fill="FFFFFF"/>
        <w:tabs>
          <w:tab w:val="clear" w:pos="708"/>
          <w:tab w:val="left" w:pos="567" w:leader="none"/>
        </w:tabs>
        <w:jc w:val="right"/>
        <w:rPr>
          <w:highlight w:val="none"/>
          <w:shd w:fill="auto" w:val="clear"/>
        </w:rPr>
      </w:pPr>
      <w:r>
        <w:rPr>
          <w:sz w:val="24"/>
          <w:szCs w:val="24"/>
          <w:shd w:fill="auto" w:val="clear"/>
        </w:rPr>
        <w:t xml:space="preserve">Приложение к приказу </w:t>
      </w:r>
    </w:p>
    <w:p>
      <w:pPr>
        <w:pStyle w:val="Normal"/>
        <w:shd w:val="clear" w:fill="FFFFFF"/>
        <w:tabs>
          <w:tab w:val="clear" w:pos="708"/>
          <w:tab w:val="left" w:pos="567" w:leader="none"/>
        </w:tabs>
        <w:jc w:val="right"/>
        <w:rPr>
          <w:highlight w:val="none"/>
          <w:shd w:fill="auto" w:val="clear"/>
        </w:rPr>
      </w:pPr>
      <w:r>
        <w:rPr>
          <w:sz w:val="24"/>
          <w:szCs w:val="24"/>
          <w:shd w:fill="auto" w:val="clear"/>
        </w:rPr>
        <w:t xml:space="preserve">Министерства образования </w:t>
      </w:r>
    </w:p>
    <w:p>
      <w:pPr>
        <w:pStyle w:val="Normal"/>
        <w:shd w:val="clear" w:fill="FFFFFF"/>
        <w:tabs>
          <w:tab w:val="clear" w:pos="708"/>
          <w:tab w:val="left" w:pos="567" w:leader="none"/>
        </w:tabs>
        <w:jc w:val="right"/>
        <w:rPr>
          <w:highlight w:val="none"/>
          <w:shd w:fill="auto" w:val="clear"/>
        </w:rPr>
      </w:pPr>
      <w:r>
        <w:rPr>
          <w:sz w:val="24"/>
          <w:szCs w:val="24"/>
          <w:shd w:fill="auto" w:val="clear"/>
        </w:rPr>
        <w:t>и спорта Республики Карелия</w:t>
      </w:r>
    </w:p>
    <w:p>
      <w:pPr>
        <w:pStyle w:val="Normal"/>
        <w:shd w:val="clear" w:fill="FFFFFF"/>
        <w:tabs>
          <w:tab w:val="clear" w:pos="708"/>
          <w:tab w:val="left" w:pos="567" w:leader="none"/>
        </w:tabs>
        <w:jc w:val="right"/>
        <w:rPr>
          <w:highlight w:val="none"/>
          <w:shd w:fill="auto" w:val="clear"/>
        </w:rPr>
      </w:pPr>
      <w:r>
        <w:rPr>
          <w:sz w:val="24"/>
          <w:szCs w:val="24"/>
          <w:shd w:fill="auto" w:val="clear"/>
        </w:rPr>
        <w:t xml:space="preserve">от «16»  декабря 2025 года № </w:t>
      </w:r>
      <w:r>
        <w:rPr>
          <w:rFonts w:eastAsia="Times New Roman" w:ascii="Nimbus Roman" w:hAnsi="Nimbus Roman"/>
          <w:b w:val="false"/>
          <w:bCs w:val="false"/>
          <w:sz w:val="24"/>
          <w:szCs w:val="24"/>
          <w:shd w:fill="auto" w:val="clear"/>
          <w:lang w:eastAsia="ru-RU"/>
        </w:rPr>
        <w:t>1391/МОС-П</w:t>
      </w:r>
    </w:p>
    <w:p>
      <w:pPr>
        <w:pStyle w:val="Normal"/>
        <w:shd w:val="clear" w:fill="FFFFFF"/>
        <w:tabs>
          <w:tab w:val="clear" w:pos="708"/>
          <w:tab w:val="left" w:pos="567" w:leader="none"/>
        </w:tabs>
        <w:jc w:val="right"/>
        <w:rPr>
          <w:b/>
          <w:sz w:val="28"/>
          <w:szCs w:val="28"/>
          <w:highlight w:val="none"/>
          <w:shd w:fill="auto" w:val="clear"/>
        </w:rPr>
      </w:pPr>
      <w:r>
        <w:rPr>
          <w:b/>
          <w:sz w:val="28"/>
          <w:szCs w:val="28"/>
          <w:shd w:fill="auto" w:val="clear"/>
        </w:rPr>
      </w:r>
    </w:p>
    <w:p>
      <w:pPr>
        <w:pStyle w:val="Normal"/>
        <w:shd w:val="clear" w:fill="FFFFFF"/>
        <w:tabs>
          <w:tab w:val="clear" w:pos="708"/>
          <w:tab w:val="left" w:pos="567" w:leader="none"/>
        </w:tabs>
        <w:jc w:val="center"/>
        <w:rPr>
          <w:b/>
          <w:sz w:val="28"/>
          <w:szCs w:val="28"/>
        </w:rPr>
      </w:pPr>
      <w:r>
        <w:rPr>
          <w:b/>
          <w:sz w:val="28"/>
          <w:szCs w:val="28"/>
          <w:shd w:fill="auto" w:val="clear"/>
        </w:rPr>
        <w:t xml:space="preserve">План мероприятий «Дорожная карта» по организации работы  с органами местного самоуправления, осуществляющих управление в сфере образования, направленной на снижение бюрократической нагрузки на  педагогических работников образовательных организаций, расположенных на территории Республики Карелия, при реализации основных общеобразовательных программ </w:t>
      </w:r>
    </w:p>
    <w:p>
      <w:pPr>
        <w:pStyle w:val="Normal"/>
        <w:shd w:val="clear" w:fill="FFFFFF"/>
        <w:tabs>
          <w:tab w:val="clear" w:pos="708"/>
          <w:tab w:val="left" w:pos="567" w:leader="none"/>
        </w:tabs>
        <w:jc w:val="center"/>
        <w:rPr>
          <w:b/>
          <w:sz w:val="28"/>
          <w:szCs w:val="28"/>
        </w:rPr>
      </w:pPr>
      <w:r>
        <w:rPr>
          <w:b/>
          <w:sz w:val="28"/>
          <w:szCs w:val="28"/>
          <w:shd w:fill="auto" w:val="clear"/>
        </w:rPr>
        <w:t>на 2026 год</w:t>
      </w:r>
    </w:p>
    <w:p>
      <w:pPr>
        <w:pStyle w:val="Normal"/>
        <w:shd w:val="clear" w:fill="FFFFFF"/>
        <w:tabs>
          <w:tab w:val="clear" w:pos="708"/>
          <w:tab w:val="left" w:pos="567" w:leader="none"/>
        </w:tabs>
        <w:jc w:val="center"/>
        <w:rPr>
          <w:b w:val="false"/>
          <w:bCs w:val="false"/>
          <w:sz w:val="24"/>
          <w:szCs w:val="24"/>
        </w:rPr>
      </w:pPr>
      <w:r>
        <w:rPr>
          <w:b w:val="false"/>
          <w:bCs w:val="false"/>
          <w:sz w:val="24"/>
          <w:szCs w:val="24"/>
          <w:shd w:fill="auto" w:val="clear"/>
        </w:rPr>
        <w:t xml:space="preserve">(в ред. приказа Министерства образования и спорта Республики Карелия от </w:t>
      </w:r>
      <w:r>
        <w:rPr>
          <w:b w:val="false"/>
          <w:bCs w:val="false"/>
          <w:sz w:val="24"/>
          <w:szCs w:val="24"/>
          <w:shd w:fill="auto" w:val="clear"/>
        </w:rPr>
        <w:t>19</w:t>
      </w:r>
      <w:r>
        <w:rPr>
          <w:b w:val="false"/>
          <w:bCs w:val="false"/>
          <w:sz w:val="24"/>
          <w:szCs w:val="24"/>
          <w:shd w:fill="auto" w:val="clear"/>
        </w:rPr>
        <w:t xml:space="preserve"> мая 2026 года № </w:t>
      </w:r>
      <w:r>
        <w:rPr>
          <w:b w:val="false"/>
          <w:bCs w:val="false"/>
          <w:sz w:val="24"/>
          <w:szCs w:val="24"/>
          <w:shd w:fill="auto" w:val="clear"/>
        </w:rPr>
        <w:t>580/МОС-П</w:t>
      </w:r>
      <w:r>
        <w:rPr>
          <w:b w:val="false"/>
          <w:bCs w:val="false"/>
          <w:sz w:val="24"/>
          <w:szCs w:val="24"/>
          <w:shd w:fill="auto" w:val="clear"/>
        </w:rPr>
        <w:t xml:space="preserve">) </w:t>
      </w:r>
    </w:p>
    <w:p>
      <w:pPr>
        <w:pStyle w:val="Normal"/>
        <w:shd w:val="clear" w:fill="FFFFFF"/>
        <w:tabs>
          <w:tab w:val="clear" w:pos="708"/>
          <w:tab w:val="left" w:pos="567" w:leader="none"/>
        </w:tabs>
        <w:jc w:val="center"/>
        <w:rPr>
          <w:b/>
          <w:sz w:val="28"/>
          <w:szCs w:val="28"/>
        </w:rPr>
      </w:pPr>
      <w:r>
        <w:rPr>
          <w:b/>
          <w:sz w:val="28"/>
          <w:szCs w:val="28"/>
        </w:rPr>
      </w:r>
    </w:p>
    <w:tbl>
      <w:tblPr>
        <w:tblW w:w="14790" w:type="dxa"/>
        <w:jc w:val="left"/>
        <w:tblInd w:w="0" w:type="dxa"/>
        <w:tblLayout w:type="fixed"/>
        <w:tblCellMar>
          <w:top w:w="0" w:type="dxa"/>
          <w:left w:w="108" w:type="dxa"/>
          <w:bottom w:w="0" w:type="dxa"/>
          <w:right w:w="108" w:type="dxa"/>
        </w:tblCellMar>
      </w:tblPr>
      <w:tblGrid>
        <w:gridCol w:w="615"/>
        <w:gridCol w:w="5534"/>
        <w:gridCol w:w="2729"/>
        <w:gridCol w:w="1979"/>
        <w:gridCol w:w="3933"/>
      </w:tblGrid>
      <w:tr>
        <w:trPr/>
        <w:tc>
          <w:tcPr>
            <w:tcW w:w="61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sz w:val="24"/>
                <w:szCs w:val="24"/>
              </w:rPr>
            </w:pPr>
            <w:r>
              <w:rPr>
                <w:b/>
                <w:sz w:val="24"/>
                <w:szCs w:val="24"/>
              </w:rPr>
              <w:t xml:space="preserve">№ </w:t>
            </w:r>
            <w:r>
              <w:rPr>
                <w:b/>
                <w:sz w:val="24"/>
                <w:szCs w:val="24"/>
              </w:rPr>
              <w:t>п/п</w:t>
            </w:r>
          </w:p>
        </w:tc>
        <w:tc>
          <w:tcPr>
            <w:tcW w:w="55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b/>
                <w:sz w:val="28"/>
                <w:szCs w:val="28"/>
              </w:rPr>
            </w:pPr>
            <w:r>
              <w:rPr>
                <w:b/>
                <w:sz w:val="28"/>
                <w:szCs w:val="28"/>
              </w:rPr>
              <w:t>Направления/основные мероприятия</w:t>
            </w:r>
          </w:p>
        </w:tc>
        <w:tc>
          <w:tcPr>
            <w:tcW w:w="272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b/>
                <w:sz w:val="28"/>
                <w:szCs w:val="28"/>
              </w:rPr>
            </w:pPr>
            <w:r>
              <w:rPr>
                <w:b/>
                <w:sz w:val="28"/>
                <w:szCs w:val="28"/>
              </w:rPr>
              <w:t>Ответственный исполнитель</w:t>
            </w:r>
          </w:p>
        </w:tc>
        <w:tc>
          <w:tcPr>
            <w:tcW w:w="197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b/>
                <w:sz w:val="28"/>
                <w:szCs w:val="28"/>
              </w:rPr>
            </w:pPr>
            <w:r>
              <w:rPr>
                <w:b/>
                <w:sz w:val="28"/>
                <w:szCs w:val="28"/>
              </w:rPr>
              <w:t>Срок исполнения</w:t>
            </w:r>
          </w:p>
        </w:tc>
        <w:tc>
          <w:tcPr>
            <w:tcW w:w="393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25" w:leader="none"/>
              </w:tabs>
              <w:suppressAutoHyphens w:val="true"/>
              <w:bidi w:val="0"/>
              <w:ind w:left="227" w:right="0"/>
              <w:jc w:val="center"/>
              <w:rPr/>
            </w:pPr>
            <w:r>
              <w:rPr>
                <w:b/>
                <w:bCs/>
                <w:sz w:val="28"/>
                <w:szCs w:val="28"/>
              </w:rPr>
              <w:t>Ожидаемый результат мероприятия</w:t>
            </w:r>
          </w:p>
        </w:tc>
      </w:tr>
      <w:tr>
        <w:trPr>
          <w:trHeight w:val="2377" w:hRule="atLeast"/>
        </w:trPr>
        <w:tc>
          <w:tcPr>
            <w:tcW w:w="61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sz w:val="22"/>
                <w:szCs w:val="22"/>
              </w:rPr>
            </w:pPr>
            <w:r>
              <w:rPr>
                <w:sz w:val="22"/>
                <w:szCs w:val="22"/>
              </w:rPr>
              <w:t>1.</w:t>
            </w:r>
          </w:p>
        </w:tc>
        <w:tc>
          <w:tcPr>
            <w:tcW w:w="5534" w:type="dxa"/>
            <w:tcBorders>
              <w:top w:val="single" w:sz="4" w:space="0" w:color="000000"/>
              <w:left w:val="single" w:sz="4" w:space="0" w:color="000000"/>
              <w:bottom w:val="single" w:sz="4" w:space="0" w:color="000000"/>
              <w:right w:val="single" w:sz="4" w:space="0" w:color="000000"/>
            </w:tcBorders>
          </w:tcPr>
          <w:p>
            <w:pPr>
              <w:pStyle w:val="Normal"/>
              <w:jc w:val="both"/>
              <w:rPr>
                <w:rFonts w:ascii="Nimbus Roman" w:hAnsi="Nimbus Roman"/>
                <w:sz w:val="24"/>
                <w:szCs w:val="24"/>
              </w:rPr>
            </w:pPr>
            <w:r>
              <w:rPr>
                <w:rFonts w:ascii="Nimbus Roman" w:hAnsi="Nimbus Roman"/>
                <w:sz w:val="24"/>
                <w:szCs w:val="24"/>
              </w:rPr>
              <w:t>Информирование руководителей органов местного самоуправления, осуществляющих управление в сфере образования, о функционировании работы «Горячей линии» Министерства образования и спорта Республики Карелия по снижению бюрократической нагрузки на педагогических работников образовательных организаций, расположенных на территории Республики Карелия, при реализации основных общеобразовательных программ</w:t>
            </w:r>
          </w:p>
        </w:tc>
        <w:tc>
          <w:tcPr>
            <w:tcW w:w="272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Отдел надзора за исполнением законодательства в сфере образования Управления государственного контроля (надзора) в сфере образования</w:t>
            </w:r>
          </w:p>
        </w:tc>
        <w:tc>
          <w:tcPr>
            <w:tcW w:w="197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Постоянно</w:t>
            </w:r>
          </w:p>
          <w:p>
            <w:pPr>
              <w:pStyle w:val="Normal"/>
              <w:tabs>
                <w:tab w:val="clear" w:pos="708"/>
                <w:tab w:val="left" w:pos="567" w:leader="none"/>
              </w:tabs>
              <w:snapToGrid w:val="false"/>
              <w:jc w:val="center"/>
              <w:rPr>
                <w:rFonts w:ascii="Nimbus Roman" w:hAnsi="Nimbus Roman"/>
                <w:sz w:val="24"/>
                <w:szCs w:val="24"/>
              </w:rPr>
            </w:pPr>
            <w:r>
              <w:rPr>
                <w:rFonts w:ascii="Nimbus Roman" w:hAnsi="Nimbus Roman"/>
                <w:sz w:val="24"/>
                <w:szCs w:val="24"/>
              </w:rPr>
              <w:t>В течение 2026 года</w:t>
            </w:r>
          </w:p>
        </w:tc>
        <w:tc>
          <w:tcPr>
            <w:tcW w:w="393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Повышение уровня информированности руководителей органов местного самоуправления, осуществляющих управление в сфере образования,</w:t>
            </w:r>
          </w:p>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и правовой компетенции административных команд и педагогических работников образовате</w:t>
            </w:r>
            <w:r>
              <w:rPr>
                <w:rFonts w:cs="Nimbus Roman" w:ascii="Nimbus Roman" w:hAnsi="Nimbus Roman"/>
                <w:b w:val="false"/>
                <w:bCs w:val="false"/>
                <w:sz w:val="24"/>
                <w:szCs w:val="24"/>
              </w:rPr>
              <w:t xml:space="preserve">льных учреждений, реализующих </w:t>
            </w:r>
            <w:r>
              <w:rPr>
                <w:rFonts w:cs="Nimbus Roman" w:ascii="Nimbus Roman" w:hAnsi="Nimbus Roman"/>
                <w:b w:val="false"/>
                <w:bCs w:val="false"/>
                <w:sz w:val="24"/>
                <w:szCs w:val="24"/>
                <w:shd w:fill="auto" w:val="clear"/>
              </w:rPr>
              <w:t>основные общеобразовательные программы</w:t>
            </w:r>
          </w:p>
        </w:tc>
      </w:tr>
      <w:tr>
        <w:trPr/>
        <w:tc>
          <w:tcPr>
            <w:tcW w:w="615"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sz w:val="22"/>
                <w:szCs w:val="22"/>
              </w:rPr>
            </w:pPr>
            <w:r>
              <w:rPr>
                <w:sz w:val="22"/>
                <w:szCs w:val="22"/>
              </w:rPr>
              <w:t>2.</w:t>
            </w:r>
          </w:p>
        </w:tc>
        <w:tc>
          <w:tcPr>
            <w:tcW w:w="5534" w:type="dxa"/>
            <w:tcBorders>
              <w:left w:val="single" w:sz="4" w:space="0" w:color="000000"/>
              <w:bottom w:val="single" w:sz="4" w:space="0" w:color="000000"/>
              <w:right w:val="single" w:sz="4" w:space="0" w:color="000000"/>
            </w:tcBorders>
          </w:tcPr>
          <w:p>
            <w:pPr>
              <w:pStyle w:val="Normal"/>
              <w:jc w:val="both"/>
              <w:rPr>
                <w:rFonts w:ascii="Nimbus Roman" w:hAnsi="Nimbus Roman"/>
                <w:sz w:val="24"/>
                <w:szCs w:val="24"/>
              </w:rPr>
            </w:pPr>
            <w:r>
              <w:rPr>
                <w:rFonts w:ascii="Nimbus Roman" w:hAnsi="Nimbus Roman"/>
                <w:sz w:val="24"/>
                <w:szCs w:val="24"/>
              </w:rPr>
              <w:t>Информирование руководителей органов местного самоуправления, осуществляющих управление в сфере образования, о функционировании «чат-бот «Помощник Рособрнадзора», о поступлении «чат-бот «Помощник Рособрнадзора» обращений педагогических работников, результатах  рассмотрения поступивших обращений</w:t>
            </w:r>
          </w:p>
        </w:tc>
        <w:tc>
          <w:tcPr>
            <w:tcW w:w="2729"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 xml:space="preserve"> </w:t>
            </w:r>
            <w:r>
              <w:rPr>
                <w:rFonts w:ascii="Nimbus Roman" w:hAnsi="Nimbus Roman"/>
                <w:sz w:val="24"/>
                <w:szCs w:val="24"/>
              </w:rPr>
              <w:t>Отдел надзора за исполнением законодательства в сфере образования Управления государственного контроля (надзора) в сфере образования</w:t>
            </w:r>
          </w:p>
        </w:tc>
        <w:tc>
          <w:tcPr>
            <w:tcW w:w="1979"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Постоянно</w:t>
            </w:r>
          </w:p>
          <w:p>
            <w:pPr>
              <w:pStyle w:val="Normal"/>
              <w:tabs>
                <w:tab w:val="clear" w:pos="708"/>
                <w:tab w:val="left" w:pos="567" w:leader="none"/>
              </w:tabs>
              <w:snapToGrid w:val="false"/>
              <w:jc w:val="center"/>
              <w:rPr>
                <w:rFonts w:ascii="Nimbus Roman" w:hAnsi="Nimbus Roman"/>
                <w:sz w:val="24"/>
                <w:szCs w:val="24"/>
              </w:rPr>
            </w:pPr>
            <w:r>
              <w:rPr>
                <w:rFonts w:ascii="Nimbus Roman" w:hAnsi="Nimbus Roman"/>
                <w:sz w:val="24"/>
                <w:szCs w:val="24"/>
              </w:rPr>
              <w:t>В течение 2026 года</w:t>
            </w:r>
          </w:p>
        </w:tc>
        <w:tc>
          <w:tcPr>
            <w:tcW w:w="3933"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Повышение уровня информированности руководителей органов местного самоуправления, осуществляющих управление в сфере образования,</w:t>
            </w:r>
          </w:p>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и правовой компетенции административных команд и педагогических работников образовате</w:t>
            </w:r>
            <w:r>
              <w:rPr>
                <w:rFonts w:cs="Nimbus Roman" w:ascii="Nimbus Roman" w:hAnsi="Nimbus Roman"/>
                <w:b w:val="false"/>
                <w:bCs w:val="false"/>
                <w:sz w:val="24"/>
                <w:szCs w:val="24"/>
              </w:rPr>
              <w:t xml:space="preserve">льных учреждений, реализующих </w:t>
            </w:r>
            <w:r>
              <w:rPr>
                <w:rFonts w:cs="Nimbus Roman" w:ascii="Nimbus Roman" w:hAnsi="Nimbus Roman"/>
                <w:b w:val="false"/>
                <w:bCs w:val="false"/>
                <w:sz w:val="24"/>
                <w:szCs w:val="24"/>
                <w:shd w:fill="auto" w:val="clear"/>
              </w:rPr>
              <w:t>основные общеобразовательные программы</w:t>
            </w:r>
          </w:p>
        </w:tc>
      </w:tr>
      <w:tr>
        <w:trPr/>
        <w:tc>
          <w:tcPr>
            <w:tcW w:w="615"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sz w:val="22"/>
                <w:szCs w:val="22"/>
              </w:rPr>
            </w:pPr>
            <w:r>
              <w:rPr>
                <w:sz w:val="22"/>
                <w:szCs w:val="22"/>
              </w:rPr>
              <w:t>3.</w:t>
            </w:r>
          </w:p>
        </w:tc>
        <w:tc>
          <w:tcPr>
            <w:tcW w:w="5534" w:type="dxa"/>
            <w:tcBorders>
              <w:left w:val="single" w:sz="4" w:space="0" w:color="000000"/>
              <w:bottom w:val="single" w:sz="4" w:space="0" w:color="000000"/>
              <w:right w:val="single" w:sz="4" w:space="0" w:color="000000"/>
            </w:tcBorders>
          </w:tcPr>
          <w:p>
            <w:pPr>
              <w:pStyle w:val="Normal"/>
              <w:jc w:val="both"/>
              <w:rPr>
                <w:rFonts w:ascii="Nimbus Roman" w:hAnsi="Nimbus Roman"/>
                <w:sz w:val="24"/>
                <w:szCs w:val="24"/>
              </w:rPr>
            </w:pPr>
            <w:r>
              <w:rPr>
                <w:rFonts w:ascii="Nimbus Roman" w:hAnsi="Nimbus Roman"/>
                <w:sz w:val="24"/>
                <w:szCs w:val="24"/>
              </w:rPr>
              <w:t>Направление в адрес органов местного самоуправления, осуществляющих управление в сфере образования,  информационно-методических писем по вопросам соблюдения требования по снижению бюрократической нагрузки на  педагогических работников образовательных организаций, расположенных на территории Республики Карелия, при реализации основных общеобразовательных программ</w:t>
            </w:r>
          </w:p>
        </w:tc>
        <w:tc>
          <w:tcPr>
            <w:tcW w:w="2729"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Отдел надзора за исполнением законодательства в сфере образования Управления государственного контроля (надзора) в сфере образования</w:t>
            </w:r>
          </w:p>
        </w:tc>
        <w:tc>
          <w:tcPr>
            <w:tcW w:w="1979"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Постоянно</w:t>
            </w:r>
          </w:p>
          <w:p>
            <w:pPr>
              <w:pStyle w:val="Normal"/>
              <w:tabs>
                <w:tab w:val="clear" w:pos="708"/>
                <w:tab w:val="left" w:pos="567" w:leader="none"/>
              </w:tabs>
              <w:snapToGrid w:val="false"/>
              <w:jc w:val="center"/>
              <w:rPr>
                <w:rFonts w:ascii="Nimbus Roman" w:hAnsi="Nimbus Roman"/>
                <w:sz w:val="24"/>
                <w:szCs w:val="24"/>
              </w:rPr>
            </w:pPr>
            <w:r>
              <w:rPr>
                <w:rFonts w:ascii="Nimbus Roman" w:hAnsi="Nimbus Roman"/>
                <w:sz w:val="24"/>
                <w:szCs w:val="24"/>
              </w:rPr>
              <w:t>В течение 2026 года</w:t>
            </w:r>
          </w:p>
        </w:tc>
        <w:tc>
          <w:tcPr>
            <w:tcW w:w="3933"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Повышение уровня информированности руководителей органов местного самоуправления, осуществляющих управление в сфере образования,</w:t>
            </w:r>
          </w:p>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и правовой компетенции административных команд и педагогических работников образовате</w:t>
            </w:r>
            <w:r>
              <w:rPr>
                <w:rFonts w:cs="Nimbus Roman" w:ascii="Nimbus Roman" w:hAnsi="Nimbus Roman"/>
                <w:b w:val="false"/>
                <w:bCs w:val="false"/>
                <w:sz w:val="24"/>
                <w:szCs w:val="24"/>
              </w:rPr>
              <w:t xml:space="preserve">льных учреждений, реализующих </w:t>
            </w:r>
            <w:r>
              <w:rPr>
                <w:rFonts w:cs="Nimbus Roman" w:ascii="Nimbus Roman" w:hAnsi="Nimbus Roman"/>
                <w:b w:val="false"/>
                <w:bCs w:val="false"/>
                <w:sz w:val="24"/>
                <w:szCs w:val="24"/>
                <w:shd w:fill="auto" w:val="clear"/>
              </w:rPr>
              <w:t>основные общеобразовательные программы</w:t>
            </w:r>
          </w:p>
        </w:tc>
      </w:tr>
      <w:tr>
        <w:trPr/>
        <w:tc>
          <w:tcPr>
            <w:tcW w:w="61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snapToGrid w:val="false"/>
              <w:jc w:val="center"/>
              <w:rPr>
                <w:sz w:val="22"/>
                <w:szCs w:val="22"/>
              </w:rPr>
            </w:pPr>
            <w:r>
              <w:rPr>
                <w:sz w:val="22"/>
                <w:szCs w:val="22"/>
              </w:rPr>
              <w:t>4.</w:t>
            </w:r>
          </w:p>
        </w:tc>
        <w:tc>
          <w:tcPr>
            <w:tcW w:w="5534" w:type="dxa"/>
            <w:tcBorders>
              <w:top w:val="single" w:sz="4" w:space="0" w:color="000000"/>
              <w:left w:val="single" w:sz="4" w:space="0" w:color="000000"/>
              <w:bottom w:val="single" w:sz="4" w:space="0" w:color="000000"/>
              <w:right w:val="single" w:sz="4" w:space="0" w:color="000000"/>
            </w:tcBorders>
          </w:tcPr>
          <w:p>
            <w:pPr>
              <w:pStyle w:val="Normal"/>
              <w:jc w:val="both"/>
              <w:rPr>
                <w:rFonts w:ascii="Nimbus Roman" w:hAnsi="Nimbus Roman"/>
                <w:sz w:val="24"/>
                <w:szCs w:val="24"/>
              </w:rPr>
            </w:pPr>
            <w:r>
              <w:rPr>
                <w:rFonts w:ascii="Nimbus Roman" w:hAnsi="Nimbus Roman"/>
                <w:sz w:val="24"/>
                <w:szCs w:val="24"/>
              </w:rPr>
              <w:t>Организация и проведение обучения по дополнительной профессиональной образовательной программе повышения квалификации представителей органов местного самоуправления, осуществляющих управление в сфере образования</w:t>
            </w:r>
          </w:p>
        </w:tc>
        <w:tc>
          <w:tcPr>
            <w:tcW w:w="272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Отдел надзора за исполнением законодательства в сфере образования Управления государственного контроля (надзора) в сфере образования;</w:t>
            </w:r>
          </w:p>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государственное автономное учреждение дополнительного профессионального образования Республики Карелия «Карельский институт развития образования</w:t>
            </w:r>
          </w:p>
        </w:tc>
        <w:tc>
          <w:tcPr>
            <w:tcW w:w="197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snapToGrid w:val="false"/>
              <w:jc w:val="center"/>
              <w:rPr>
                <w:rFonts w:ascii="Nimbus Roman" w:hAnsi="Nimbus Roman"/>
                <w:sz w:val="24"/>
                <w:szCs w:val="24"/>
              </w:rPr>
            </w:pPr>
            <w:r>
              <w:rPr>
                <w:rFonts w:ascii="Nimbus Roman" w:hAnsi="Nimbus Roman"/>
                <w:sz w:val="24"/>
                <w:szCs w:val="24"/>
              </w:rPr>
              <w:t>до 15 декабря 2026 года</w:t>
            </w:r>
          </w:p>
        </w:tc>
        <w:tc>
          <w:tcPr>
            <w:tcW w:w="393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Повышение уровня информированности руководителей органов местного самоуправления, осуществляющих управление в сфере образования,</w:t>
            </w:r>
          </w:p>
          <w:p>
            <w:pPr>
              <w:pStyle w:val="Normal"/>
              <w:tabs>
                <w:tab w:val="clear" w:pos="708"/>
                <w:tab w:val="left" w:pos="567" w:leader="none"/>
              </w:tabs>
              <w:jc w:val="center"/>
              <w:rPr>
                <w:rFonts w:ascii="Nimbus Roman" w:hAnsi="Nimbus Roman"/>
                <w:sz w:val="24"/>
                <w:szCs w:val="24"/>
              </w:rPr>
            </w:pPr>
            <w:r>
              <w:rPr>
                <w:rFonts w:ascii="Nimbus Roman" w:hAnsi="Nimbus Roman"/>
                <w:sz w:val="24"/>
                <w:szCs w:val="24"/>
              </w:rPr>
              <w:t>и правовой компетенции административных команд и педагогических работников образовате</w:t>
            </w:r>
            <w:r>
              <w:rPr>
                <w:rFonts w:cs="Nimbus Roman" w:ascii="Nimbus Roman" w:hAnsi="Nimbus Roman"/>
                <w:b w:val="false"/>
                <w:bCs w:val="false"/>
                <w:sz w:val="24"/>
                <w:szCs w:val="24"/>
              </w:rPr>
              <w:t xml:space="preserve">льных учреждений, реализующих </w:t>
            </w:r>
            <w:r>
              <w:rPr>
                <w:rFonts w:cs="Nimbus Roman" w:ascii="Nimbus Roman" w:hAnsi="Nimbus Roman"/>
                <w:b w:val="false"/>
                <w:bCs w:val="false"/>
                <w:sz w:val="24"/>
                <w:szCs w:val="24"/>
                <w:shd w:fill="auto" w:val="clear"/>
              </w:rPr>
              <w:t>основные общеобразовательные программы</w:t>
            </w:r>
          </w:p>
        </w:tc>
      </w:tr>
      <w:tr>
        <w:trPr/>
        <w:tc>
          <w:tcPr>
            <w:tcW w:w="61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cs="Nimbus Roman"/>
                <w:sz w:val="22"/>
                <w:szCs w:val="22"/>
              </w:rPr>
            </w:pPr>
            <w:r>
              <w:rPr>
                <w:rFonts w:cs="Nimbus Roman" w:ascii="Nimbus Roman" w:hAnsi="Nimbus Roman"/>
                <w:sz w:val="22"/>
                <w:szCs w:val="22"/>
              </w:rPr>
              <w:t>5.</w:t>
            </w:r>
          </w:p>
        </w:tc>
        <w:tc>
          <w:tcPr>
            <w:tcW w:w="55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both"/>
              <w:rPr>
                <w:rFonts w:ascii="Nimbus Roman" w:hAnsi="Nimbus Roman"/>
                <w:sz w:val="24"/>
                <w:szCs w:val="24"/>
              </w:rPr>
            </w:pPr>
            <w:r>
              <w:rPr>
                <w:rFonts w:cs="Nimbus Roman" w:ascii="Nimbus Roman" w:hAnsi="Nimbus Roman"/>
                <w:sz w:val="24"/>
                <w:szCs w:val="24"/>
              </w:rPr>
              <w:t xml:space="preserve">Проведение совещаний с руководителями органов местного самоуправления, осуществляющих управление в сфере образования,  общеобразовательных учреждений, дошкольных образовательных учреждений Республики по вопросу снижения бюрократической нагрузки на  педагогических работников образовательных организаций, расположенных на территории Республики Карелия, при реализации основных общеобразовательных программ  </w:t>
            </w:r>
            <w:r>
              <w:rPr>
                <w:rFonts w:cs="Nimbus Roman" w:ascii="Nimbus Roman" w:hAnsi="Nimbus Roman"/>
                <w:sz w:val="24"/>
                <w:szCs w:val="24"/>
                <w:shd w:fill="auto" w:val="clear"/>
              </w:rPr>
              <w:t>(очный формат или формат ВКС)</w:t>
            </w:r>
          </w:p>
        </w:tc>
        <w:tc>
          <w:tcPr>
            <w:tcW w:w="272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Отдел надзора за исполнением законодательства в сфере образования Управления государственного контроля (надзора) в сфере образования;</w:t>
            </w:r>
          </w:p>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государственное автономное учреждение дополнительного профессионального образования Республики Карелия «Карельский институт развития образования»</w:t>
            </w:r>
          </w:p>
        </w:tc>
        <w:tc>
          <w:tcPr>
            <w:tcW w:w="197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 w:val="left" w:pos="1410" w:leader="none"/>
              </w:tabs>
              <w:jc w:val="center"/>
              <w:rPr>
                <w:rFonts w:ascii="Nimbus Roman" w:hAnsi="Nimbus Roman"/>
                <w:sz w:val="24"/>
                <w:szCs w:val="24"/>
              </w:rPr>
            </w:pPr>
            <w:r>
              <w:rPr>
                <w:rFonts w:cs="Nimbus Roman" w:ascii="Nimbus Roman" w:hAnsi="Nimbus Roman"/>
                <w:sz w:val="24"/>
                <w:szCs w:val="24"/>
              </w:rPr>
              <w:t>Ежеквартально</w:t>
            </w:r>
          </w:p>
          <w:p>
            <w:pPr>
              <w:pStyle w:val="Normal"/>
              <w:tabs>
                <w:tab w:val="clear" w:pos="708"/>
                <w:tab w:val="left" w:pos="567" w:leader="none"/>
              </w:tabs>
              <w:snapToGrid w:val="false"/>
              <w:jc w:val="center"/>
              <w:rPr>
                <w:rFonts w:ascii="Nimbus Roman" w:hAnsi="Nimbus Roman"/>
                <w:sz w:val="24"/>
                <w:szCs w:val="24"/>
              </w:rPr>
            </w:pPr>
            <w:r>
              <w:rPr>
                <w:rFonts w:cs="Nimbus Roman" w:ascii="Nimbus Roman" w:hAnsi="Nimbus Roman"/>
                <w:sz w:val="24"/>
                <w:szCs w:val="24"/>
              </w:rPr>
              <w:t>В течение 2026 года</w:t>
            </w:r>
          </w:p>
        </w:tc>
        <w:tc>
          <w:tcPr>
            <w:tcW w:w="393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Повышение уровня информированности руководителей органов местного самоуправления, осуществляющих управление в сфере образования,</w:t>
            </w:r>
          </w:p>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и правовой компетенции административных команд и педагогических работников образовате</w:t>
            </w:r>
            <w:r>
              <w:rPr>
                <w:rFonts w:cs="Nimbus Roman" w:ascii="Nimbus Roman" w:hAnsi="Nimbus Roman"/>
                <w:b w:val="false"/>
                <w:bCs w:val="false"/>
                <w:sz w:val="24"/>
                <w:szCs w:val="24"/>
              </w:rPr>
              <w:t xml:space="preserve">льных учреждений, реализующих </w:t>
            </w:r>
            <w:r>
              <w:rPr>
                <w:rFonts w:cs="Nimbus Roman" w:ascii="Nimbus Roman" w:hAnsi="Nimbus Roman"/>
                <w:b w:val="false"/>
                <w:bCs w:val="false"/>
                <w:sz w:val="24"/>
                <w:szCs w:val="24"/>
                <w:shd w:fill="auto" w:val="clear"/>
              </w:rPr>
              <w:t>основные общеобразовательные программы</w:t>
            </w:r>
          </w:p>
          <w:p>
            <w:pPr>
              <w:pStyle w:val="Normal"/>
              <w:tabs>
                <w:tab w:val="clear" w:pos="708"/>
                <w:tab w:val="left" w:pos="567" w:leader="none"/>
              </w:tabs>
              <w:jc w:val="center"/>
              <w:rPr>
                <w:rFonts w:ascii="Nimbus Roman" w:hAnsi="Nimbus Roman"/>
                <w:sz w:val="24"/>
                <w:szCs w:val="24"/>
              </w:rPr>
            </w:pPr>
            <w:r>
              <w:rPr>
                <w:rFonts w:cs="Nimbus Roman" w:ascii="Nimbus Roman" w:hAnsi="Nimbus Roman"/>
                <w:b w:val="false"/>
                <w:bCs w:val="false"/>
                <w:sz w:val="24"/>
                <w:szCs w:val="24"/>
                <w:shd w:fill="auto" w:val="clear"/>
              </w:rPr>
              <w:t>Снижение документационной нагрузки на педагогических работников образовательных учреждений, реализующих основные общеобразовательные программы</w:t>
            </w:r>
          </w:p>
        </w:tc>
      </w:tr>
      <w:tr>
        <w:trPr/>
        <w:tc>
          <w:tcPr>
            <w:tcW w:w="615"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cs="Nimbus Roman"/>
                <w:sz w:val="22"/>
                <w:szCs w:val="22"/>
              </w:rPr>
            </w:pPr>
            <w:r>
              <w:rPr>
                <w:rFonts w:cs="Nimbus Roman" w:ascii="Nimbus Roman" w:hAnsi="Nimbus Roman"/>
                <w:sz w:val="22"/>
                <w:szCs w:val="22"/>
              </w:rPr>
              <w:t>6.</w:t>
            </w:r>
          </w:p>
        </w:tc>
        <w:tc>
          <w:tcPr>
            <w:tcW w:w="5534" w:type="dxa"/>
            <w:tcBorders>
              <w:left w:val="single" w:sz="4" w:space="0" w:color="000000"/>
              <w:bottom w:val="single" w:sz="4" w:space="0" w:color="000000"/>
              <w:right w:val="single" w:sz="4" w:space="0" w:color="000000"/>
            </w:tcBorders>
          </w:tcPr>
          <w:p>
            <w:pPr>
              <w:pStyle w:val="Normal"/>
              <w:tabs>
                <w:tab w:val="clear" w:pos="708"/>
                <w:tab w:val="left" w:pos="567" w:leader="none"/>
              </w:tabs>
              <w:jc w:val="both"/>
              <w:rPr>
                <w:rFonts w:ascii="Nimbus Roman" w:hAnsi="Nimbus Roman"/>
                <w:sz w:val="24"/>
                <w:szCs w:val="24"/>
              </w:rPr>
            </w:pPr>
            <w:r>
              <w:rPr>
                <w:rFonts w:cs="Nimbus Roman" w:ascii="Nimbus Roman" w:hAnsi="Nimbus Roman"/>
                <w:sz w:val="24"/>
                <w:szCs w:val="24"/>
              </w:rPr>
              <w:t xml:space="preserve">Проведение семинаров </w:t>
            </w:r>
            <w:r>
              <w:rPr>
                <w:rFonts w:cs="Nimbus Roman" w:ascii="Nimbus Roman" w:hAnsi="Nimbus Roman"/>
                <w:sz w:val="24"/>
                <w:szCs w:val="24"/>
                <w:shd w:fill="auto" w:val="clear"/>
              </w:rPr>
              <w:t>«Образование без бюрократии»</w:t>
            </w:r>
            <w:r>
              <w:rPr>
                <w:rFonts w:cs="Nimbus Roman" w:ascii="Nimbus Roman" w:hAnsi="Nimbus Roman"/>
                <w:sz w:val="24"/>
                <w:szCs w:val="24"/>
              </w:rPr>
              <w:t xml:space="preserve"> с руководителями органов мест</w:t>
            </w:r>
            <w:r>
              <w:rPr>
                <w:rFonts w:cs="Nimbus Roman" w:ascii="Nimbus Roman" w:hAnsi="Nimbus Roman"/>
                <w:sz w:val="24"/>
                <w:szCs w:val="24"/>
                <w:shd w:fill="auto" w:val="clear"/>
              </w:rPr>
              <w:t>ного самоуправления, осуществляющих управление в сфере образования,  общеобразовательных учреждений, дошкольных образовательных учреждений Республики по вопросу снижения бюрократической нагрузки на  педагогических работников образовательных организаций, расположенных на территории Республики Карелия, при реализации основных общеобразовательных программ  (очный формат или формат ВКС)</w:t>
            </w:r>
          </w:p>
        </w:tc>
        <w:tc>
          <w:tcPr>
            <w:tcW w:w="2729"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Отдел надзора за исполнением законодательства в сфере образования Управления государственного контроля (надзора) в сфере образования;</w:t>
            </w:r>
          </w:p>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государственное автономное учреждение дополнительного профессионального образования Республики Карелия «Карельский институт развития образования»</w:t>
            </w:r>
          </w:p>
        </w:tc>
        <w:tc>
          <w:tcPr>
            <w:tcW w:w="1979" w:type="dxa"/>
            <w:tcBorders>
              <w:left w:val="single" w:sz="4" w:space="0" w:color="000000"/>
              <w:bottom w:val="single" w:sz="4" w:space="0" w:color="000000"/>
              <w:right w:val="single" w:sz="4" w:space="0" w:color="000000"/>
            </w:tcBorders>
          </w:tcPr>
          <w:p>
            <w:pPr>
              <w:pStyle w:val="Normal"/>
              <w:tabs>
                <w:tab w:val="clear" w:pos="708"/>
                <w:tab w:val="left" w:pos="567" w:leader="none"/>
                <w:tab w:val="left" w:pos="1410" w:leader="none"/>
              </w:tabs>
              <w:jc w:val="center"/>
              <w:rPr>
                <w:rFonts w:ascii="Nimbus Roman" w:hAnsi="Nimbus Roman"/>
                <w:sz w:val="24"/>
                <w:szCs w:val="24"/>
              </w:rPr>
            </w:pPr>
            <w:r>
              <w:rPr>
                <w:rFonts w:cs="Nimbus Roman" w:ascii="Nimbus Roman" w:hAnsi="Nimbus Roman"/>
                <w:sz w:val="24"/>
                <w:szCs w:val="24"/>
              </w:rPr>
              <w:t>В течение 2026 года</w:t>
            </w:r>
          </w:p>
        </w:tc>
        <w:tc>
          <w:tcPr>
            <w:tcW w:w="3933"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Повышение уровня информированности руководителей органов местного самоуправления, осуществляющих управление в сфере образования,</w:t>
            </w:r>
          </w:p>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и правовой компетенции административных команд и педагогических работников образовате</w:t>
            </w:r>
            <w:r>
              <w:rPr>
                <w:rFonts w:cs="Nimbus Roman" w:ascii="Nimbus Roman" w:hAnsi="Nimbus Roman"/>
                <w:b w:val="false"/>
                <w:bCs w:val="false"/>
                <w:sz w:val="24"/>
                <w:szCs w:val="24"/>
              </w:rPr>
              <w:t xml:space="preserve">льных учреждений, реализующих </w:t>
            </w:r>
            <w:r>
              <w:rPr>
                <w:rFonts w:cs="Nimbus Roman" w:ascii="Nimbus Roman" w:hAnsi="Nimbus Roman"/>
                <w:b w:val="false"/>
                <w:bCs w:val="false"/>
                <w:sz w:val="24"/>
                <w:szCs w:val="24"/>
                <w:shd w:fill="auto" w:val="clear"/>
              </w:rPr>
              <w:t>основные общеобразовательные программы</w:t>
            </w:r>
          </w:p>
          <w:p>
            <w:pPr>
              <w:pStyle w:val="Normal"/>
              <w:tabs>
                <w:tab w:val="clear" w:pos="708"/>
                <w:tab w:val="left" w:pos="567" w:leader="none"/>
              </w:tabs>
              <w:jc w:val="center"/>
              <w:rPr>
                <w:rFonts w:ascii="Nimbus Roman" w:hAnsi="Nimbus Roman"/>
                <w:sz w:val="24"/>
                <w:szCs w:val="24"/>
              </w:rPr>
            </w:pPr>
            <w:r>
              <w:rPr>
                <w:rFonts w:cs="Nimbus Roman" w:ascii="Nimbus Roman" w:hAnsi="Nimbus Roman"/>
                <w:b w:val="false"/>
                <w:bCs w:val="false"/>
                <w:sz w:val="24"/>
                <w:szCs w:val="24"/>
                <w:shd w:fill="auto" w:val="clear"/>
              </w:rPr>
              <w:t>Снижение документационной нагрузки на педагогических работников образовательных учреждений, реализующих основные общеобразовательные программы</w:t>
            </w:r>
          </w:p>
          <w:p>
            <w:pPr>
              <w:pStyle w:val="Normal"/>
              <w:tabs>
                <w:tab w:val="clear" w:pos="708"/>
                <w:tab w:val="left" w:pos="567" w:leader="none"/>
              </w:tabs>
              <w:jc w:val="center"/>
              <w:rPr>
                <w:rFonts w:ascii="Nimbus Roman" w:hAnsi="Nimbus Roman" w:eastAsia="Nimbus Roman" w:cs="Nimbus Roman"/>
                <w:b w:val="false"/>
                <w:bCs w:val="false"/>
                <w:sz w:val="24"/>
                <w:szCs w:val="24"/>
                <w:shd w:fill="auto" w:val="clear"/>
              </w:rPr>
            </w:pPr>
            <w:r>
              <w:rPr>
                <w:rFonts w:eastAsia="Nimbus Roman" w:cs="Nimbus Roman" w:ascii="Nimbus Roman" w:hAnsi="Nimbus Roman"/>
                <w:b w:val="false"/>
                <w:bCs w:val="false"/>
                <w:sz w:val="24"/>
                <w:szCs w:val="24"/>
                <w:shd w:fill="auto" w:val="clear"/>
              </w:rPr>
            </w:r>
          </w:p>
        </w:tc>
      </w:tr>
      <w:tr>
        <w:trPr/>
        <w:tc>
          <w:tcPr>
            <w:tcW w:w="61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sz w:val="22"/>
                <w:szCs w:val="22"/>
              </w:rPr>
            </w:pPr>
            <w:r>
              <w:rPr>
                <w:sz w:val="22"/>
                <w:szCs w:val="22"/>
              </w:rPr>
              <w:t>7.</w:t>
            </w:r>
          </w:p>
        </w:tc>
        <w:tc>
          <w:tcPr>
            <w:tcW w:w="55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both"/>
              <w:rPr>
                <w:rFonts w:ascii="Nimbus Roman" w:hAnsi="Nimbus Roman"/>
                <w:sz w:val="24"/>
                <w:szCs w:val="24"/>
              </w:rPr>
            </w:pPr>
            <w:r>
              <w:rPr>
                <w:rFonts w:ascii="Nimbus Roman" w:hAnsi="Nimbus Roman"/>
                <w:sz w:val="24"/>
                <w:szCs w:val="24"/>
              </w:rPr>
              <w:t xml:space="preserve">Организация и проведение собеседований с представителями органов местного самоуправления, осуществляющих управление в сфере образования по вопросу организации работы на уровне муниципального округа по </w:t>
            </w:r>
            <w:r>
              <w:rPr>
                <w:rFonts w:cs="Nimbus Roman" w:ascii="Nimbus Roman" w:hAnsi="Nimbus Roman"/>
                <w:sz w:val="24"/>
                <w:szCs w:val="24"/>
              </w:rPr>
              <w:t>вопросу снижения бюрократической нагрузки на  педагогических работников образовательных организаций, расположенных на территории Республики Карелия, при реализации основных общеобразовательных программ</w:t>
            </w:r>
          </w:p>
        </w:tc>
        <w:tc>
          <w:tcPr>
            <w:tcW w:w="272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Отдел надзора за исполнением законодательства в сфере образования Управления государственного контроля (надзора) в сфере образования;</w:t>
            </w:r>
          </w:p>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государственное автономное учреждение дополнительного профессионального образования Республики Карелия «Карельский институт развития образования»</w:t>
            </w:r>
          </w:p>
        </w:tc>
        <w:tc>
          <w:tcPr>
            <w:tcW w:w="197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snapToGrid w:val="false"/>
              <w:jc w:val="center"/>
              <w:rPr>
                <w:rFonts w:ascii="Nimbus Roman" w:hAnsi="Nimbus Roman"/>
                <w:sz w:val="24"/>
                <w:szCs w:val="24"/>
              </w:rPr>
            </w:pPr>
            <w:r>
              <w:rPr>
                <w:rFonts w:ascii="Nimbus Roman" w:hAnsi="Nimbus Roman"/>
                <w:sz w:val="24"/>
                <w:szCs w:val="24"/>
              </w:rPr>
              <w:t>В течение 2026 года</w:t>
            </w:r>
          </w:p>
        </w:tc>
        <w:tc>
          <w:tcPr>
            <w:tcW w:w="393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cs="Nimbus Roman" w:ascii="Nimbus Roman" w:hAnsi="Nimbus Roman"/>
                <w:b w:val="false"/>
                <w:bCs w:val="false"/>
                <w:sz w:val="24"/>
                <w:szCs w:val="24"/>
                <w:shd w:fill="auto" w:val="clear"/>
              </w:rPr>
              <w:t>Снижение документационной нагрузки на педагогических работников образовательных учреждений, реализующих основные общеобразовательные программы</w:t>
            </w:r>
          </w:p>
        </w:tc>
      </w:tr>
      <w:tr>
        <w:trPr/>
        <w:tc>
          <w:tcPr>
            <w:tcW w:w="615"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sz w:val="22"/>
                <w:szCs w:val="22"/>
              </w:rPr>
            </w:pPr>
            <w:r>
              <w:rPr>
                <w:sz w:val="22"/>
                <w:szCs w:val="22"/>
              </w:rPr>
              <w:t>8.</w:t>
            </w:r>
          </w:p>
        </w:tc>
        <w:tc>
          <w:tcPr>
            <w:tcW w:w="5534" w:type="dxa"/>
            <w:tcBorders>
              <w:left w:val="single" w:sz="4" w:space="0" w:color="000000"/>
              <w:bottom w:val="single" w:sz="4" w:space="0" w:color="000000"/>
              <w:right w:val="single" w:sz="4" w:space="0" w:color="000000"/>
            </w:tcBorders>
          </w:tcPr>
          <w:p>
            <w:pPr>
              <w:pStyle w:val="Normal"/>
              <w:tabs>
                <w:tab w:val="clear" w:pos="708"/>
                <w:tab w:val="left" w:pos="567" w:leader="none"/>
              </w:tabs>
              <w:jc w:val="both"/>
              <w:rPr>
                <w:rFonts w:ascii="Nimbus Roman" w:hAnsi="Nimbus Roman"/>
                <w:sz w:val="24"/>
                <w:szCs w:val="24"/>
              </w:rPr>
            </w:pPr>
            <w:r>
              <w:rPr>
                <w:rFonts w:ascii="Nimbus Roman" w:hAnsi="Nimbus Roman"/>
                <w:sz w:val="24"/>
                <w:szCs w:val="24"/>
              </w:rPr>
              <w:t>Разработка и направление в адрес р</w:t>
            </w:r>
            <w:r>
              <w:rPr>
                <w:rFonts w:cs="Nimbus Roman" w:ascii="Nimbus Roman" w:hAnsi="Nimbus Roman"/>
                <w:sz w:val="24"/>
                <w:szCs w:val="24"/>
              </w:rPr>
              <w:t>уководителей органов местного самоуправления, осуществляющих управление в сфере образования, чек — листа по организации работы на уровне муниципального округа Республики Карелия</w:t>
            </w:r>
          </w:p>
        </w:tc>
        <w:tc>
          <w:tcPr>
            <w:tcW w:w="2729"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Отдел надзора за исполнением законодательства в сфере образования Управления государственного контроля (надзора) в сфере образования;</w:t>
            </w:r>
          </w:p>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государственное автономное учреждение дополнительного профессионального образования Республики Карелия «Карельский институт развития образования»</w:t>
            </w:r>
          </w:p>
        </w:tc>
        <w:tc>
          <w:tcPr>
            <w:tcW w:w="1979" w:type="dxa"/>
            <w:tcBorders>
              <w:left w:val="single" w:sz="4" w:space="0" w:color="000000"/>
              <w:bottom w:val="single" w:sz="4" w:space="0" w:color="000000"/>
              <w:right w:val="single" w:sz="4" w:space="0" w:color="000000"/>
            </w:tcBorders>
          </w:tcPr>
          <w:p>
            <w:pPr>
              <w:pStyle w:val="Normal"/>
              <w:tabs>
                <w:tab w:val="clear" w:pos="708"/>
                <w:tab w:val="left" w:pos="567" w:leader="none"/>
              </w:tabs>
              <w:snapToGrid w:val="false"/>
              <w:jc w:val="center"/>
              <w:rPr>
                <w:rFonts w:ascii="Nimbus Roman" w:hAnsi="Nimbus Roman"/>
                <w:sz w:val="24"/>
                <w:szCs w:val="24"/>
              </w:rPr>
            </w:pPr>
            <w:r>
              <w:rPr>
                <w:rFonts w:ascii="Nimbus Roman" w:hAnsi="Nimbus Roman"/>
                <w:sz w:val="24"/>
                <w:szCs w:val="24"/>
              </w:rPr>
              <w:t>до 1 июня 2026 года</w:t>
            </w:r>
          </w:p>
        </w:tc>
        <w:tc>
          <w:tcPr>
            <w:tcW w:w="3933"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cs="Nimbus Roman" w:ascii="Nimbus Roman" w:hAnsi="Nimbus Roman"/>
                <w:b w:val="false"/>
                <w:bCs w:val="false"/>
                <w:sz w:val="24"/>
                <w:szCs w:val="24"/>
                <w:shd w:fill="auto" w:val="clear"/>
              </w:rPr>
              <w:t>Снижение документационной нагрузки на педагогических работников образовательных учреждений, реализующих основные общеобразовательные программы</w:t>
            </w:r>
          </w:p>
        </w:tc>
      </w:tr>
      <w:tr>
        <w:trPr/>
        <w:tc>
          <w:tcPr>
            <w:tcW w:w="615"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sz w:val="22"/>
                <w:szCs w:val="22"/>
              </w:rPr>
            </w:pPr>
            <w:r>
              <w:rPr>
                <w:sz w:val="22"/>
                <w:szCs w:val="22"/>
              </w:rPr>
              <w:t>9.</w:t>
            </w:r>
          </w:p>
        </w:tc>
        <w:tc>
          <w:tcPr>
            <w:tcW w:w="5534" w:type="dxa"/>
            <w:tcBorders>
              <w:left w:val="single" w:sz="4" w:space="0" w:color="000000"/>
              <w:bottom w:val="single" w:sz="4" w:space="0" w:color="000000"/>
              <w:right w:val="single" w:sz="4" w:space="0" w:color="000000"/>
            </w:tcBorders>
          </w:tcPr>
          <w:p>
            <w:pPr>
              <w:pStyle w:val="Normal"/>
              <w:tabs>
                <w:tab w:val="clear" w:pos="708"/>
                <w:tab w:val="left" w:pos="567" w:leader="none"/>
              </w:tabs>
              <w:jc w:val="both"/>
              <w:rPr>
                <w:rFonts w:ascii="Nimbus Roman" w:hAnsi="Nimbus Roman"/>
                <w:sz w:val="24"/>
                <w:szCs w:val="24"/>
              </w:rPr>
            </w:pPr>
            <w:r>
              <w:rPr>
                <w:rFonts w:ascii="Nimbus Roman" w:hAnsi="Nimbus Roman"/>
                <w:sz w:val="24"/>
                <w:szCs w:val="24"/>
              </w:rPr>
              <w:t xml:space="preserve">Мониторинг локальных нормативных актов  </w:t>
            </w:r>
            <w:r>
              <w:rPr>
                <w:rFonts w:cs="Nimbus Roman" w:ascii="Nimbus Roman" w:hAnsi="Nimbus Roman"/>
                <w:sz w:val="24"/>
                <w:szCs w:val="24"/>
              </w:rPr>
              <w:t xml:space="preserve">органов местного самоуправления, осуществляющих управление в сфере образования, размещенных на официальных сайтах,  на предмет </w:t>
            </w:r>
            <w:r>
              <w:rPr>
                <w:rFonts w:cs="Nimbus Roman" w:ascii="Nimbus Roman" w:hAnsi="Nimbus Roman"/>
                <w:b w:val="false"/>
                <w:i w:val="false"/>
                <w:caps w:val="false"/>
                <w:smallCaps w:val="false"/>
                <w:color w:val="000000"/>
                <w:spacing w:val="0"/>
                <w:sz w:val="24"/>
                <w:szCs w:val="24"/>
              </w:rPr>
              <w:t>наличия в локальных актах норм, в соответствии с которыми на педагогических работников возлагаются обязанности по осуществлению работы, не предусмотренной законодательством Российской Федерации и принятие управленческих мер по результатам проведения мониторинга (в случае необходимости)</w:t>
            </w:r>
          </w:p>
        </w:tc>
        <w:tc>
          <w:tcPr>
            <w:tcW w:w="2729"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Отдел надзора за исполнением законодательства в сфере образования Управления государственного контроля (надзора) в сфере образования;</w:t>
            </w:r>
          </w:p>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государственное автономное учреждение дополнительного профессионального образования Республики Карелия «Карельский институт развития образования»</w:t>
            </w:r>
          </w:p>
        </w:tc>
        <w:tc>
          <w:tcPr>
            <w:tcW w:w="1979" w:type="dxa"/>
            <w:tcBorders>
              <w:left w:val="single" w:sz="4" w:space="0" w:color="000000"/>
              <w:bottom w:val="single" w:sz="4" w:space="0" w:color="000000"/>
              <w:right w:val="single" w:sz="4" w:space="0" w:color="000000"/>
            </w:tcBorders>
          </w:tcPr>
          <w:p>
            <w:pPr>
              <w:pStyle w:val="Normal"/>
              <w:tabs>
                <w:tab w:val="clear" w:pos="708"/>
                <w:tab w:val="left" w:pos="567" w:leader="none"/>
              </w:tabs>
              <w:snapToGrid w:val="false"/>
              <w:jc w:val="center"/>
              <w:rPr>
                <w:rFonts w:ascii="Nimbus Roman" w:hAnsi="Nimbus Roman"/>
                <w:sz w:val="24"/>
                <w:szCs w:val="24"/>
              </w:rPr>
            </w:pPr>
            <w:r>
              <w:rPr>
                <w:rFonts w:ascii="Nimbus Roman" w:hAnsi="Nimbus Roman"/>
                <w:sz w:val="24"/>
                <w:szCs w:val="24"/>
              </w:rPr>
              <w:t>до  30 декабря 2026 года</w:t>
            </w:r>
          </w:p>
        </w:tc>
        <w:tc>
          <w:tcPr>
            <w:tcW w:w="3933"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cs="Nimbus Roman" w:ascii="Nimbus Roman" w:hAnsi="Nimbus Roman"/>
                <w:b w:val="false"/>
                <w:bCs w:val="false"/>
                <w:sz w:val="24"/>
                <w:szCs w:val="24"/>
                <w:shd w:fill="auto" w:val="clear"/>
              </w:rPr>
              <w:t>Снижение документационной нагрузки на педагогических работников образовательных учреждений, реализующих основные общеобразовательные программы</w:t>
            </w:r>
          </w:p>
        </w:tc>
      </w:tr>
      <w:tr>
        <w:trPr/>
        <w:tc>
          <w:tcPr>
            <w:tcW w:w="615"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sz w:val="22"/>
                <w:szCs w:val="22"/>
              </w:rPr>
            </w:pPr>
            <w:r>
              <w:rPr>
                <w:sz w:val="22"/>
                <w:szCs w:val="22"/>
              </w:rPr>
              <w:t>10.</w:t>
            </w:r>
          </w:p>
          <w:p>
            <w:pPr>
              <w:pStyle w:val="Normal"/>
              <w:tabs>
                <w:tab w:val="clear" w:pos="708"/>
                <w:tab w:val="left" w:pos="567" w:leader="none"/>
              </w:tabs>
              <w:jc w:val="center"/>
              <w:rPr>
                <w:sz w:val="22"/>
                <w:szCs w:val="22"/>
              </w:rPr>
            </w:pPr>
            <w:r>
              <w:rPr>
                <w:sz w:val="22"/>
                <w:szCs w:val="22"/>
              </w:rPr>
            </w:r>
          </w:p>
          <w:p>
            <w:pPr>
              <w:pStyle w:val="Normal"/>
              <w:tabs>
                <w:tab w:val="clear" w:pos="708"/>
                <w:tab w:val="left" w:pos="567" w:leader="none"/>
              </w:tabs>
              <w:jc w:val="center"/>
              <w:rPr>
                <w:sz w:val="22"/>
                <w:szCs w:val="22"/>
              </w:rPr>
            </w:pPr>
            <w:r>
              <w:rPr>
                <w:sz w:val="22"/>
                <w:szCs w:val="22"/>
              </w:rPr>
            </w:r>
          </w:p>
        </w:tc>
        <w:tc>
          <w:tcPr>
            <w:tcW w:w="5534" w:type="dxa"/>
            <w:tcBorders>
              <w:left w:val="single" w:sz="4" w:space="0" w:color="000000"/>
              <w:bottom w:val="single" w:sz="4" w:space="0" w:color="000000"/>
              <w:right w:val="single" w:sz="4" w:space="0" w:color="000000"/>
            </w:tcBorders>
          </w:tcPr>
          <w:p>
            <w:pPr>
              <w:pStyle w:val="Normal"/>
              <w:tabs>
                <w:tab w:val="clear" w:pos="708"/>
                <w:tab w:val="left" w:pos="567" w:leader="none"/>
              </w:tabs>
              <w:jc w:val="both"/>
              <w:rPr>
                <w:rFonts w:ascii="Nimbus Roman" w:hAnsi="Nimbus Roman"/>
                <w:sz w:val="24"/>
                <w:szCs w:val="24"/>
              </w:rPr>
            </w:pPr>
            <w:r>
              <w:rPr>
                <w:rFonts w:ascii="Nimbus Roman" w:hAnsi="Nimbus Roman"/>
                <w:sz w:val="24"/>
                <w:szCs w:val="24"/>
              </w:rPr>
              <w:t>Сбор, обработка и анализ исполнения чек-листов,  направленных в адрес р</w:t>
            </w:r>
            <w:r>
              <w:rPr>
                <w:rFonts w:cs="Nimbus Roman" w:ascii="Nimbus Roman" w:hAnsi="Nimbus Roman"/>
                <w:sz w:val="24"/>
                <w:szCs w:val="24"/>
              </w:rPr>
              <w:t>уководителей органов местного самоуправления, осуществляющих управление в сфере образования,  по вопросу снижения бюрократической нагрузки на  педагогических работников образовательных организаций, расположенных на территории Республики Карелия, при реализации основных общеобразовательных программ</w:t>
            </w:r>
          </w:p>
        </w:tc>
        <w:tc>
          <w:tcPr>
            <w:tcW w:w="2729"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Отдел надзора за исполнением законодательства в сфере образования Управления государственного контроля (надзора) в сфере образования;</w:t>
            </w:r>
          </w:p>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государственное автономное учреждение дополнительного профессионального образования Республики Карелия «Карельский институт развития образования»</w:t>
            </w:r>
          </w:p>
        </w:tc>
        <w:tc>
          <w:tcPr>
            <w:tcW w:w="1979" w:type="dxa"/>
            <w:tcBorders>
              <w:left w:val="single" w:sz="4" w:space="0" w:color="000000"/>
              <w:bottom w:val="single" w:sz="4" w:space="0" w:color="000000"/>
              <w:right w:val="single" w:sz="4" w:space="0" w:color="000000"/>
            </w:tcBorders>
          </w:tcPr>
          <w:p>
            <w:pPr>
              <w:pStyle w:val="Normal"/>
              <w:tabs>
                <w:tab w:val="clear" w:pos="708"/>
                <w:tab w:val="left" w:pos="567" w:leader="none"/>
              </w:tabs>
              <w:snapToGrid w:val="false"/>
              <w:jc w:val="center"/>
              <w:rPr>
                <w:rFonts w:ascii="Nimbus Roman" w:hAnsi="Nimbus Roman"/>
                <w:sz w:val="24"/>
                <w:szCs w:val="24"/>
              </w:rPr>
            </w:pPr>
            <w:r>
              <w:rPr>
                <w:rFonts w:ascii="Nimbus Roman" w:hAnsi="Nimbus Roman"/>
                <w:sz w:val="24"/>
                <w:szCs w:val="24"/>
              </w:rPr>
              <w:t>до 1 октября 2026 года</w:t>
            </w:r>
          </w:p>
        </w:tc>
        <w:tc>
          <w:tcPr>
            <w:tcW w:w="3933"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cs="Nimbus Roman" w:ascii="Nimbus Roman" w:hAnsi="Nimbus Roman"/>
                <w:b w:val="false"/>
                <w:bCs w:val="false"/>
                <w:sz w:val="24"/>
                <w:szCs w:val="24"/>
                <w:shd w:fill="auto" w:val="clear"/>
              </w:rPr>
              <w:t>Снижение документационной нагрузки на педагогических работников образовательных учреждений, реализующих основные общеобразовательные программы</w:t>
            </w:r>
          </w:p>
        </w:tc>
      </w:tr>
      <w:tr>
        <w:trPr/>
        <w:tc>
          <w:tcPr>
            <w:tcW w:w="615"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sz w:val="22"/>
                <w:szCs w:val="22"/>
              </w:rPr>
            </w:pPr>
            <w:r>
              <w:rPr>
                <w:sz w:val="22"/>
                <w:szCs w:val="22"/>
              </w:rPr>
              <w:t>11.</w:t>
            </w:r>
          </w:p>
        </w:tc>
        <w:tc>
          <w:tcPr>
            <w:tcW w:w="5534" w:type="dxa"/>
            <w:tcBorders>
              <w:left w:val="single" w:sz="4" w:space="0" w:color="000000"/>
              <w:bottom w:val="single" w:sz="4" w:space="0" w:color="000000"/>
              <w:right w:val="single" w:sz="4" w:space="0" w:color="000000"/>
            </w:tcBorders>
          </w:tcPr>
          <w:p>
            <w:pPr>
              <w:pStyle w:val="Normal"/>
              <w:tabs>
                <w:tab w:val="clear" w:pos="708"/>
                <w:tab w:val="left" w:pos="567" w:leader="none"/>
              </w:tabs>
              <w:jc w:val="both"/>
              <w:rPr>
                <w:rFonts w:ascii="Nimbus Roman" w:hAnsi="Nimbus Roman"/>
                <w:sz w:val="24"/>
                <w:szCs w:val="24"/>
              </w:rPr>
            </w:pPr>
            <w:r>
              <w:rPr>
                <w:rFonts w:ascii="Nimbus Roman" w:hAnsi="Nimbus Roman"/>
                <w:sz w:val="24"/>
                <w:szCs w:val="24"/>
              </w:rPr>
              <w:t>Конкурс/отбор лучших практик и решений по снижению бюрократической нагрузки в системе образования, а также вовлечения и консолидации работников образования, образовательных организаций, органов местного самоуправления, осуществляющих управление в сфере образования, в работу по качественному снижению бюрократической нагрузки в системе образования.</w:t>
            </w:r>
          </w:p>
        </w:tc>
        <w:tc>
          <w:tcPr>
            <w:tcW w:w="2729"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Отдел надзора за исполнением законодательства в сфере образования Управления государственного контроля (надзора) в сфере образования;</w:t>
            </w:r>
          </w:p>
          <w:p>
            <w:pPr>
              <w:pStyle w:val="Normal"/>
              <w:tabs>
                <w:tab w:val="clear" w:pos="708"/>
                <w:tab w:val="left" w:pos="567" w:leader="none"/>
              </w:tabs>
              <w:jc w:val="center"/>
              <w:rPr>
                <w:rFonts w:ascii="Nimbus Roman" w:hAnsi="Nimbus Roman"/>
                <w:sz w:val="24"/>
                <w:szCs w:val="24"/>
              </w:rPr>
            </w:pPr>
            <w:r>
              <w:rPr>
                <w:rFonts w:cs="Nimbus Roman" w:ascii="Nimbus Roman" w:hAnsi="Nimbus Roman"/>
                <w:sz w:val="24"/>
                <w:szCs w:val="24"/>
              </w:rPr>
              <w:t>государственное автономное учреждение дополнительного профессионального образования Республики Карелия «Карельский институт развития образования»</w:t>
            </w:r>
          </w:p>
        </w:tc>
        <w:tc>
          <w:tcPr>
            <w:tcW w:w="1979" w:type="dxa"/>
            <w:tcBorders>
              <w:left w:val="single" w:sz="4" w:space="0" w:color="000000"/>
              <w:bottom w:val="single" w:sz="4" w:space="0" w:color="000000"/>
              <w:right w:val="single" w:sz="4" w:space="0" w:color="000000"/>
            </w:tcBorders>
          </w:tcPr>
          <w:p>
            <w:pPr>
              <w:pStyle w:val="Normal"/>
              <w:tabs>
                <w:tab w:val="clear" w:pos="708"/>
                <w:tab w:val="left" w:pos="567" w:leader="none"/>
              </w:tabs>
              <w:snapToGrid w:val="false"/>
              <w:jc w:val="center"/>
              <w:rPr>
                <w:rFonts w:ascii="Nimbus Roman" w:hAnsi="Nimbus Roman"/>
                <w:sz w:val="24"/>
                <w:szCs w:val="24"/>
              </w:rPr>
            </w:pPr>
            <w:r>
              <w:rPr>
                <w:rFonts w:ascii="Nimbus Roman" w:hAnsi="Nimbus Roman"/>
                <w:sz w:val="24"/>
                <w:szCs w:val="24"/>
              </w:rPr>
              <w:t>до 1 декабря 2026 года</w:t>
            </w:r>
          </w:p>
        </w:tc>
        <w:tc>
          <w:tcPr>
            <w:tcW w:w="3933" w:type="dxa"/>
            <w:tcBorders>
              <w:left w:val="single" w:sz="4" w:space="0" w:color="000000"/>
              <w:bottom w:val="single" w:sz="4" w:space="0" w:color="000000"/>
              <w:right w:val="single" w:sz="4" w:space="0" w:color="000000"/>
            </w:tcBorders>
          </w:tcPr>
          <w:p>
            <w:pPr>
              <w:pStyle w:val="Normal"/>
              <w:tabs>
                <w:tab w:val="clear" w:pos="708"/>
                <w:tab w:val="left" w:pos="567" w:leader="none"/>
              </w:tabs>
              <w:jc w:val="center"/>
              <w:rPr>
                <w:rFonts w:ascii="Nimbus Roman" w:hAnsi="Nimbus Roman"/>
                <w:sz w:val="24"/>
                <w:szCs w:val="24"/>
              </w:rPr>
            </w:pPr>
            <w:r>
              <w:rPr>
                <w:rFonts w:cs="Nimbus Roman" w:ascii="Nimbus Roman" w:hAnsi="Nimbus Roman"/>
                <w:b w:val="false"/>
                <w:bCs w:val="false"/>
                <w:sz w:val="24"/>
                <w:szCs w:val="24"/>
                <w:shd w:fill="auto" w:val="clear"/>
              </w:rPr>
              <w:t>Снижение документационной нагрузки на педагогических работников образовательных учреждений, реализующих основные общеобразовательные программы</w:t>
            </w:r>
          </w:p>
        </w:tc>
      </w:tr>
    </w:tbl>
    <w:p>
      <w:pPr>
        <w:pStyle w:val="Normal"/>
        <w:rPr/>
      </w:pPr>
      <w:r>
        <w:rPr/>
      </w:r>
    </w:p>
    <w:sectPr>
      <w:type w:val="nextPage"/>
      <w:pgSz w:orient="landscape" w:w="16838" w:h="11906"/>
      <w:pgMar w:left="1134" w:right="1134" w:gutter="0" w:header="0" w:top="1276" w:footer="0" w:bottom="85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Times New Roman">
    <w:charset w:val="01"/>
    <w:family w:val="roman"/>
    <w:pitch w:val="default"/>
  </w:font>
  <w:font w:name="Segoe UI">
    <w:charset w:val="01"/>
    <w:family w:val="swiss"/>
    <w:pitch w:val="default"/>
  </w:font>
  <w:font w:name="PT Astra Serif">
    <w:altName w:val="Times New Roman"/>
    <w:charset w:val="01"/>
    <w:family w:val="roman"/>
    <w:pitch w:val="default"/>
  </w:font>
  <w:font w:name="Nimbus Roman">
    <w:charset w:val="01"/>
    <w:family w:val="auto"/>
    <w:pitch w:val="default"/>
  </w:font>
</w:fonts>
</file>

<file path=word/settings.xml><?xml version="1.0" encoding="utf-8"?>
<w:settings xmlns:w="http://schemas.openxmlformats.org/wordprocessingml/2006/main">
  <w:zoom w:percent="100"/>
  <w:displayBackgroundShape/>
  <w:defaultTabStop w:val="708"/>
  <w:autoHyphenation w:val="true"/>
  <w:hyphenationZone w:val="0"/>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Tahoma" w:cs="Noto Sans Devanagari"/>
        <w:sz w:val="24"/>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character" w:styleId="Style14">
    <w:name w:val="Основной шрифт абзаца"/>
    <w:qFormat/>
    <w:rPr/>
  </w:style>
  <w:style w:type="character" w:styleId="1">
    <w:name w:val="Основной шрифт абзаца1"/>
    <w:qFormat/>
    <w:rPr/>
  </w:style>
  <w:style w:type="character" w:styleId="Style15">
    <w:name w:val="Текст выноски Знак"/>
    <w:qFormat/>
    <w:rPr>
      <w:rFonts w:ascii="Segoe UI" w:hAnsi="Segoe UI" w:eastAsia="Times New Roman" w:cs="Segoe UI"/>
      <w:sz w:val="18"/>
      <w:szCs w:val="18"/>
    </w:rPr>
  </w:style>
  <w:style w:type="paragraph" w:styleId="Style16">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Times New Roman" w:hAnsi="PT Astra Serif;Times New Roman" w:cs="Noto Sans Devanagari;Times New Roman"/>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7">
    <w:name w:val="Указатель"/>
    <w:basedOn w:val="Normal"/>
    <w:qFormat/>
    <w:pPr>
      <w:suppressLineNumbers/>
    </w:pPr>
    <w:rPr>
      <w:rFonts w:ascii="PT Astra Serif" w:hAnsi="PT Astra Serif" w:cs="Noto Sans Devanagari"/>
    </w:rPr>
  </w:style>
  <w:style w:type="paragraph" w:styleId="caption1">
    <w:name w:val="caption1"/>
    <w:basedOn w:val="Normal"/>
    <w:qFormat/>
    <w:pPr>
      <w:suppressLineNumbers/>
      <w:spacing w:before="120" w:after="120"/>
    </w:pPr>
    <w:rPr>
      <w:rFonts w:ascii="PT Astra Serif" w:hAnsi="PT Astra Serif" w:cs="Noto Sans Devanagari"/>
      <w:i/>
      <w:iCs/>
      <w:sz w:val="24"/>
      <w:szCs w:val="24"/>
    </w:rPr>
  </w:style>
  <w:style w:type="paragraph" w:styleId="caption11">
    <w:name w:val="caption11"/>
    <w:basedOn w:val="Normal"/>
    <w:qFormat/>
    <w:pPr>
      <w:suppressLineNumbers/>
      <w:spacing w:before="120" w:after="120"/>
    </w:pPr>
    <w:rPr>
      <w:rFonts w:ascii="PT Astra Serif" w:hAnsi="PT Astra Serif" w:cs="Noto Sans Devanagari"/>
      <w:i/>
      <w:iCs/>
      <w:sz w:val="24"/>
      <w:szCs w:val="24"/>
    </w:rPr>
  </w:style>
  <w:style w:type="paragraph" w:styleId="11">
    <w:name w:val="Заголовок1"/>
    <w:basedOn w:val="Normal"/>
    <w:next w:val="BodyText"/>
    <w:qFormat/>
    <w:pPr>
      <w:keepNext w:val="true"/>
      <w:spacing w:before="240" w:after="120"/>
    </w:pPr>
    <w:rPr>
      <w:rFonts w:ascii="PT Astra Serif;Times New Roman" w:hAnsi="PT Astra Serif;Times New Roman" w:eastAsia="Tahoma" w:cs="Noto Sans Devanagari;Times New Roman"/>
      <w:sz w:val="28"/>
      <w:szCs w:val="28"/>
    </w:rPr>
  </w:style>
  <w:style w:type="paragraph" w:styleId="Style18">
    <w:name w:val="Название объекта"/>
    <w:basedOn w:val="Normal"/>
    <w:qFormat/>
    <w:pPr>
      <w:suppressLineNumbers/>
      <w:spacing w:before="120" w:after="120"/>
    </w:pPr>
    <w:rPr>
      <w:rFonts w:ascii="PT Astra Serif;Times New Roman" w:hAnsi="PT Astra Serif;Times New Roman" w:cs="Noto Sans Devanagari;Times New Roman"/>
      <w:i/>
      <w:iCs/>
      <w:sz w:val="24"/>
      <w:szCs w:val="24"/>
    </w:rPr>
  </w:style>
  <w:style w:type="paragraph" w:styleId="12">
    <w:name w:val="Указатель1"/>
    <w:basedOn w:val="Normal"/>
    <w:qFormat/>
    <w:pPr>
      <w:suppressLineNumbers/>
    </w:pPr>
    <w:rPr>
      <w:rFonts w:ascii="PT Astra Serif;Times New Roman" w:hAnsi="PT Astra Serif;Times New Roman" w:cs="Noto Sans Devanagari;Times New Roman"/>
    </w:rPr>
  </w:style>
  <w:style w:type="paragraph" w:styleId="Style19">
    <w:name w:val="Текст выноски"/>
    <w:basedOn w:val="Normal"/>
    <w:qFormat/>
    <w:pPr/>
    <w:rPr>
      <w:rFonts w:ascii="Segoe UI" w:hAnsi="Segoe UI" w:cs="Segoe UI"/>
      <w:sz w:val="18"/>
      <w:szCs w:val="18"/>
    </w:rPr>
  </w:style>
  <w:style w:type="paragraph" w:styleId="Style20">
    <w:name w:val="Обычный (веб)"/>
    <w:basedOn w:val="Normal"/>
    <w:qFormat/>
    <w:pPr>
      <w:widowControl/>
      <w:spacing w:before="280" w:after="280"/>
    </w:pPr>
    <w:rPr>
      <w:sz w:val="24"/>
      <w:szCs w:val="24"/>
    </w:rPr>
  </w:style>
  <w:style w:type="paragraph" w:styleId="Style21">
    <w:name w:val="Содержимое таблицы"/>
    <w:basedOn w:val="Normal"/>
    <w:qFormat/>
    <w:pPr>
      <w:widowControl w:val="false"/>
      <w:suppressLineNumbers/>
    </w:pPr>
    <w:rPr/>
  </w:style>
  <w:style w:type="paragraph" w:styleId="Style22">
    <w:name w:val="Заголовок таблицы"/>
    <w:basedOn w:val="Style21"/>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331</TotalTime>
  <Application>LibreOffice/24.8.4.2$Linux_X86_64 LibreOffice_project/480$Build-2</Application>
  <AppVersion>15.0000</AppVersion>
  <Pages>6</Pages>
  <Words>1054</Words>
  <Characters>9230</Characters>
  <CharactersWithSpaces>10222</CharactersWithSpaces>
  <Paragraphs>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2025-12-11T22:55:00Z</dcterms:created>
  <dc:creator>Вера Люттина</dc:creator>
  <dc:description/>
  <dc:language>ru-RU</dc:language>
  <cp:lastModifiedBy/>
  <cp:lastPrinted>2026-05-20T13:34:58Z</cp:lastPrinted>
  <dcterms:modified xsi:type="dcterms:W3CDTF">2026-05-20T13:36:03Z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file>